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A84" w:rsidRDefault="00E94A84" w:rsidP="00EF3280">
      <w:pPr>
        <w:widowControl/>
        <w:shd w:val="clear" w:color="auto" w:fill="FFFFFF"/>
        <w:autoSpaceDE/>
        <w:autoSpaceDN/>
        <w:jc w:val="center"/>
        <w:textAlignment w:val="baseline"/>
        <w:rPr>
          <w:rFonts w:ascii="Tahoma" w:eastAsia="Times New Roman" w:hAnsi="Tahoma" w:cs="Tahoma"/>
          <w:b/>
          <w:bCs/>
          <w:lang w:eastAsia="ru-RU"/>
        </w:rPr>
      </w:pPr>
      <w:r w:rsidRPr="00EF3280">
        <w:rPr>
          <w:rFonts w:ascii="Tahoma" w:hAnsi="Tahoma" w:cs="Tahoma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76B730A" wp14:editId="00291DE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857500" cy="1362075"/>
            <wp:effectExtent l="0" t="0" r="0" b="9525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center"/>
        <w:textAlignment w:val="baseline"/>
        <w:rPr>
          <w:rFonts w:ascii="Tahoma" w:eastAsia="Times New Roman" w:hAnsi="Tahoma" w:cs="Tahoma"/>
          <w:b/>
          <w:bCs/>
          <w:lang w:eastAsia="ru-RU"/>
        </w:rPr>
      </w:pPr>
      <w:bookmarkStart w:id="0" w:name="_GoBack"/>
      <w:r w:rsidRPr="00EF3280">
        <w:rPr>
          <w:rFonts w:ascii="Tahoma" w:eastAsia="Times New Roman" w:hAnsi="Tahoma" w:cs="Tahoma"/>
          <w:b/>
          <w:bCs/>
          <w:lang w:eastAsia="ru-RU"/>
        </w:rPr>
        <w:t>Законопроект, который упрощает постановку на учет и регистрацию права на сараи, бани, теплицы и другие постройки</w:t>
      </w:r>
      <w:bookmarkEnd w:id="0"/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>Хороший </w:t>
      </w:r>
      <w:hyperlink r:id="rId6" w:tgtFrame="_blank" w:history="1">
        <w:r w:rsidRPr="00EF3280">
          <w:rPr>
            <w:rFonts w:ascii="Tahoma" w:eastAsia="Times New Roman" w:hAnsi="Tahoma" w:cs="Tahoma"/>
            <w:bCs/>
            <w:bdr w:val="none" w:sz="0" w:space="0" w:color="auto" w:frame="1"/>
            <w:lang w:eastAsia="ru-RU"/>
          </w:rPr>
          <w:t>законопроект № 543005-8</w:t>
        </w:r>
      </w:hyperlink>
      <w:r w:rsidRPr="00EF3280">
        <w:rPr>
          <w:rFonts w:ascii="Tahoma" w:eastAsia="Times New Roman" w:hAnsi="Tahoma" w:cs="Tahoma"/>
          <w:bCs/>
          <w:lang w:eastAsia="ru-RU"/>
        </w:rPr>
        <w:t> был разработан в начале этого года, который: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:rsidR="00EF3280" w:rsidRPr="00EF3280" w:rsidRDefault="00EF3280" w:rsidP="00EF3280">
      <w:pPr>
        <w:widowControl/>
        <w:numPr>
          <w:ilvl w:val="0"/>
          <w:numId w:val="1"/>
        </w:numPr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>упрощает постановку на государственный кадастровый учет и оформление прав на вспомогательные объекты недвижимости (сараи, бани, теплицы, навесы, погреба, колодцы, летние кухни и другие хозяйственные постройки);</w:t>
      </w:r>
    </w:p>
    <w:p w:rsidR="00EF3280" w:rsidRPr="00EF3280" w:rsidRDefault="00EF3280" w:rsidP="00EF3280">
      <w:pPr>
        <w:widowControl/>
        <w:numPr>
          <w:ilvl w:val="0"/>
          <w:numId w:val="1"/>
        </w:numPr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>уточняет положения «гаражной амнистии»;</w:t>
      </w:r>
    </w:p>
    <w:p w:rsidR="00EF3280" w:rsidRPr="00EF3280" w:rsidRDefault="00EF3280" w:rsidP="00EF3280">
      <w:pPr>
        <w:widowControl/>
        <w:numPr>
          <w:ilvl w:val="0"/>
          <w:numId w:val="1"/>
        </w:numPr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>вносит изменения в Федеральный закон № 478-ФЗ, в отношении домов блокированной застройки.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ind w:left="720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bdr w:val="none" w:sz="0" w:space="0" w:color="auto" w:frame="1"/>
          <w:lang w:eastAsia="ru-RU"/>
        </w:rPr>
        <w:t>Начнем по порядку.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bdr w:val="none" w:sz="0" w:space="0" w:color="auto" w:frame="1"/>
          <w:lang w:eastAsia="ru-RU"/>
        </w:rPr>
        <w:t> </w:t>
      </w:r>
    </w:p>
    <w:p w:rsidR="00EF3280" w:rsidRPr="00EF3280" w:rsidRDefault="00EF3280" w:rsidP="00EF3280">
      <w:pPr>
        <w:pStyle w:val="a5"/>
        <w:widowControl/>
        <w:numPr>
          <w:ilvl w:val="0"/>
          <w:numId w:val="3"/>
        </w:numPr>
        <w:shd w:val="clear" w:color="auto" w:fill="FFFFFF"/>
        <w:autoSpaceDE/>
        <w:autoSpaceDN/>
        <w:ind w:left="0" w:firstLine="360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>Большая часть недвижимости, используемая гражданами для удовлетворения бытовых нужд (сараи, бани, теплицы, навесы, погреба, колодцы, летние кухни и другие хозяйственные постройки), сегодня не может пройти процедуру государственной регистрации, в том числе в связи с временными и финансовыми затратами граждан на их оформление.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> 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bdr w:val="none" w:sz="0" w:space="0" w:color="auto" w:frame="1"/>
          <w:lang w:eastAsia="ru-RU"/>
        </w:rPr>
        <w:t xml:space="preserve">Законопроектом предлагается </w:t>
      </w:r>
      <w:r w:rsidRPr="00EF3280">
        <w:rPr>
          <w:rFonts w:ascii="Tahoma" w:eastAsia="Times New Roman" w:hAnsi="Tahoma" w:cs="Tahoma"/>
          <w:b/>
          <w:bCs/>
          <w:bdr w:val="none" w:sz="0" w:space="0" w:color="auto" w:frame="1"/>
          <w:lang w:eastAsia="ru-RU"/>
        </w:rPr>
        <w:t>вспомогательные постройки</w:t>
      </w:r>
      <w:r w:rsidRPr="00EF3280">
        <w:rPr>
          <w:rFonts w:ascii="Tahoma" w:eastAsia="Times New Roman" w:hAnsi="Tahoma" w:cs="Tahoma"/>
          <w:bCs/>
          <w:bdr w:val="none" w:sz="0" w:space="0" w:color="auto" w:frame="1"/>
          <w:lang w:eastAsia="ru-RU"/>
        </w:rPr>
        <w:t xml:space="preserve">, которые учтены в составе домовладений и расположены на земельных участках, предназначенных для ИЖС, ЛПХ, садоводства, </w:t>
      </w:r>
      <w:r w:rsidRPr="00EF3280">
        <w:rPr>
          <w:rFonts w:ascii="Tahoma" w:eastAsia="Times New Roman" w:hAnsi="Tahoma" w:cs="Tahoma"/>
          <w:b/>
          <w:bCs/>
          <w:bdr w:val="none" w:sz="0" w:space="0" w:color="auto" w:frame="1"/>
          <w:lang w:eastAsia="ru-RU"/>
        </w:rPr>
        <w:t>вносить в ЕГРН как ранее учтенные объекты недвижимости на основании технических паспортов и оценочной и иной учетно-технической документации.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> 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>В пояснительной записке к данному законопроекту сообщается следующее: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> 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>Технический учет, государственный учет объектов недвижимости, в том числе осуществленный до дня вступления в силу </w:t>
      </w:r>
      <w:hyperlink r:id="rId7" w:tgtFrame="_blank" w:history="1">
        <w:r w:rsidRPr="00EF3280">
          <w:rPr>
            <w:rFonts w:ascii="Tahoma" w:eastAsia="Times New Roman" w:hAnsi="Tahoma" w:cs="Tahoma"/>
            <w:bCs/>
            <w:bdr w:val="none" w:sz="0" w:space="0" w:color="auto" w:frame="1"/>
            <w:lang w:eastAsia="ru-RU"/>
          </w:rPr>
          <w:t>Федерального закона от 24.07.2007 № 221-ФЗ</w:t>
        </w:r>
      </w:hyperlink>
      <w:r w:rsidRPr="00EF3280">
        <w:rPr>
          <w:rFonts w:ascii="Tahoma" w:eastAsia="Times New Roman" w:hAnsi="Tahoma" w:cs="Tahoma"/>
          <w:bCs/>
          <w:lang w:eastAsia="ru-RU"/>
        </w:rPr>
        <w:t>, признается юридически действительным, и такие объекты считаются ранее учтенными объектами недвижимого имущества.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> 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>В соответствии с Инструкцией о проведении учета жилищного фонда в Российской Федерации, утвержденной </w:t>
      </w:r>
      <w:hyperlink r:id="rId8" w:tgtFrame="_blank" w:history="1">
        <w:r w:rsidRPr="00EF3280">
          <w:rPr>
            <w:rFonts w:ascii="Tahoma" w:eastAsia="Times New Roman" w:hAnsi="Tahoma" w:cs="Tahoma"/>
            <w:bCs/>
            <w:bdr w:val="none" w:sz="0" w:space="0" w:color="auto" w:frame="1"/>
            <w:lang w:eastAsia="ru-RU"/>
          </w:rPr>
          <w:t>приказом Минземстроя Российской Федерации от 04.08.1998 № 37</w:t>
        </w:r>
      </w:hyperlink>
      <w:r w:rsidRPr="00EF3280">
        <w:rPr>
          <w:rFonts w:ascii="Tahoma" w:eastAsia="Times New Roman" w:hAnsi="Tahoma" w:cs="Tahoma"/>
          <w:bCs/>
          <w:lang w:eastAsia="ru-RU"/>
        </w:rPr>
        <w:t xml:space="preserve"> (</w:t>
      </w:r>
      <w:hyperlink r:id="rId9" w:history="1">
        <w:r w:rsidRPr="00EF3280">
          <w:rPr>
            <w:rStyle w:val="a7"/>
            <w:rFonts w:ascii="Tahoma" w:eastAsia="Times New Roman" w:hAnsi="Tahoma" w:cs="Tahoma"/>
            <w:bCs/>
            <w:color w:val="auto"/>
            <w:u w:val="none"/>
            <w:lang w:eastAsia="ru-RU"/>
          </w:rPr>
          <w:t>https://rkc56.ru/documents/728</w:t>
        </w:r>
      </w:hyperlink>
      <w:r w:rsidRPr="00EF3280">
        <w:rPr>
          <w:rFonts w:ascii="Tahoma" w:eastAsia="Times New Roman" w:hAnsi="Tahoma" w:cs="Tahoma"/>
          <w:bCs/>
          <w:lang w:eastAsia="ru-RU"/>
        </w:rPr>
        <w:t>), единицей технической инвентаризации являлось домовладение, в состав которого включался жилой дом (дома) и обслуживающие его (их) строения и сооружения, находящиеся на обособленном земельном участке.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> 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>Учитывая изложенное, в целях создания условий для оформления прав на объекты, учтенные в составе домовладений и расположенные на земельных участках, предназначенных для ИЖС, ЛПХ, ведения гражданами садоводства, предлагается распространить правила, предусмотренные Федеральным законом от 13.07.2015 № 218-ФЗ о ранее возникших правах, на права в отношении таких объектов недвижимости, а также установить </w:t>
      </w:r>
      <w:r w:rsidRPr="00EF3280">
        <w:rPr>
          <w:rFonts w:ascii="Tahoma" w:eastAsia="Times New Roman" w:hAnsi="Tahoma" w:cs="Tahoma"/>
          <w:bCs/>
          <w:bdr w:val="none" w:sz="0" w:space="0" w:color="auto" w:frame="1"/>
          <w:lang w:eastAsia="ru-RU"/>
        </w:rPr>
        <w:t>возможность внесения в ЕГРН сведений о таких объектах как о ранее учтенных объектах недвижимости - на основании технических паспортов, оценочной и иной учетно-технической документации об объектах государственного технического учета и технической инвентаризации.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> 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>В этом случае должны быть соблюдены следующие условия: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:rsidR="00EF3280" w:rsidRPr="00EF3280" w:rsidRDefault="00EF3280" w:rsidP="00EF3280">
      <w:pPr>
        <w:pStyle w:val="a5"/>
        <w:widowControl/>
        <w:numPr>
          <w:ilvl w:val="0"/>
          <w:numId w:val="4"/>
        </w:numPr>
        <w:shd w:val="clear" w:color="auto" w:fill="FFFFFF"/>
        <w:autoSpaceDE/>
        <w:autoSpaceDN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>в отношении таких зданий и сооружений до 01.01.2013 года был осуществлен технический учет и (или) государственный учет в составе домовладения;</w:t>
      </w:r>
    </w:p>
    <w:p w:rsidR="00EF3280" w:rsidRPr="00EF3280" w:rsidRDefault="00EF3280" w:rsidP="00EF3280">
      <w:pPr>
        <w:pStyle w:val="a5"/>
        <w:widowControl/>
        <w:numPr>
          <w:ilvl w:val="0"/>
          <w:numId w:val="4"/>
        </w:numPr>
        <w:shd w:val="clear" w:color="auto" w:fill="FFFFFF"/>
        <w:autoSpaceDE/>
        <w:autoSpaceDN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lastRenderedPageBreak/>
        <w:t>наличие у гражданина права на соответствующий земельный участок.</w:t>
      </w:r>
    </w:p>
    <w:p w:rsidR="00EF3280" w:rsidRPr="00EF3280" w:rsidRDefault="00EF3280" w:rsidP="00EF3280">
      <w:pPr>
        <w:pStyle w:val="a5"/>
        <w:widowControl/>
        <w:shd w:val="clear" w:color="auto" w:fill="FFFFFF"/>
        <w:autoSpaceDE/>
        <w:autoSpaceDN/>
        <w:ind w:left="585" w:firstLine="0"/>
        <w:textAlignment w:val="baseline"/>
        <w:rPr>
          <w:rFonts w:ascii="Tahoma" w:eastAsia="Times New Roman" w:hAnsi="Tahoma" w:cs="Tahoma"/>
          <w:bCs/>
          <w:lang w:eastAsia="ru-RU"/>
        </w:rPr>
      </w:pPr>
    </w:p>
    <w:p w:rsidR="00EF3280" w:rsidRPr="00EF3280" w:rsidRDefault="00EF3280" w:rsidP="00EF3280">
      <w:pPr>
        <w:pStyle w:val="a5"/>
        <w:widowControl/>
        <w:numPr>
          <w:ilvl w:val="0"/>
          <w:numId w:val="3"/>
        </w:numPr>
        <w:shd w:val="clear" w:color="auto" w:fill="FFFFFF"/>
        <w:autoSpaceDE/>
        <w:autoSpaceDN/>
        <w:ind w:left="0" w:firstLine="426"/>
        <w:textAlignment w:val="baseline"/>
        <w:rPr>
          <w:rFonts w:ascii="Tahoma" w:eastAsia="Times New Roman" w:hAnsi="Tahoma" w:cs="Tahoma"/>
          <w:b/>
          <w:bCs/>
          <w:lang w:eastAsia="ru-RU"/>
        </w:rPr>
      </w:pPr>
      <w:r w:rsidRPr="00EF3280">
        <w:rPr>
          <w:rFonts w:ascii="Tahoma" w:eastAsia="Times New Roman" w:hAnsi="Tahoma" w:cs="Tahoma"/>
          <w:bCs/>
          <w:bdr w:val="none" w:sz="0" w:space="0" w:color="auto" w:frame="1"/>
          <w:lang w:eastAsia="ru-RU"/>
        </w:rPr>
        <w:t xml:space="preserve">Законопроектом предлагается </w:t>
      </w:r>
      <w:r w:rsidRPr="00EF3280">
        <w:rPr>
          <w:rFonts w:ascii="Tahoma" w:eastAsia="Times New Roman" w:hAnsi="Tahoma" w:cs="Tahoma"/>
          <w:b/>
          <w:bCs/>
          <w:bdr w:val="none" w:sz="0" w:space="0" w:color="auto" w:frame="1"/>
          <w:lang w:eastAsia="ru-RU"/>
        </w:rPr>
        <w:t>уточнить положения «гаражной амнистии» о порядке оформления гаражей различной этажности.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>А именно, вносятся изменения в </w:t>
      </w:r>
      <w:hyperlink r:id="rId10" w:tgtFrame="_blank" w:history="1">
        <w:r w:rsidRPr="00EF3280">
          <w:rPr>
            <w:rFonts w:ascii="Tahoma" w:eastAsia="Times New Roman" w:hAnsi="Tahoma" w:cs="Tahoma"/>
            <w:bCs/>
            <w:bdr w:val="none" w:sz="0" w:space="0" w:color="auto" w:frame="1"/>
            <w:lang w:eastAsia="ru-RU"/>
          </w:rPr>
          <w:t>Федеральный закон от 05.04.2021 № 79-ФЗ</w:t>
        </w:r>
      </w:hyperlink>
      <w:r w:rsidRPr="00EF3280">
        <w:rPr>
          <w:rFonts w:ascii="Tahoma" w:eastAsia="Times New Roman" w:hAnsi="Tahoma" w:cs="Tahoma"/>
          <w:bCs/>
          <w:lang w:eastAsia="ru-RU"/>
        </w:rPr>
        <w:t> и слова «Одноэтажные гаражи» заменить словом «Гаражи».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> </w:t>
      </w:r>
    </w:p>
    <w:p w:rsidR="00EF3280" w:rsidRPr="00EF3280" w:rsidRDefault="00E94A84" w:rsidP="00EF3280">
      <w:pPr>
        <w:pStyle w:val="a5"/>
        <w:widowControl/>
        <w:numPr>
          <w:ilvl w:val="0"/>
          <w:numId w:val="3"/>
        </w:numPr>
        <w:shd w:val="clear" w:color="auto" w:fill="FFFFFF"/>
        <w:autoSpaceDE/>
        <w:autoSpaceDN/>
        <w:ind w:left="0" w:firstLine="426"/>
        <w:textAlignment w:val="baseline"/>
        <w:rPr>
          <w:rFonts w:ascii="Tahoma" w:eastAsia="Times New Roman" w:hAnsi="Tahoma" w:cs="Tahoma"/>
          <w:bCs/>
          <w:lang w:eastAsia="ru-RU"/>
        </w:rPr>
      </w:pPr>
      <w:hyperlink r:id="rId11" w:tgtFrame="_blank" w:history="1">
        <w:r w:rsidR="00EF3280" w:rsidRPr="00EF3280">
          <w:rPr>
            <w:rFonts w:ascii="Tahoma" w:eastAsia="Times New Roman" w:hAnsi="Tahoma" w:cs="Tahoma"/>
            <w:bCs/>
            <w:bdr w:val="none" w:sz="0" w:space="0" w:color="auto" w:frame="1"/>
            <w:lang w:eastAsia="ru-RU"/>
          </w:rPr>
          <w:t>Федеральным законом от 30.12. 2021 № 478-ФЗ</w:t>
        </w:r>
      </w:hyperlink>
      <w:r w:rsidR="00EF3280" w:rsidRPr="00EF3280">
        <w:rPr>
          <w:rFonts w:ascii="Tahoma" w:eastAsia="Times New Roman" w:hAnsi="Tahoma" w:cs="Tahoma"/>
          <w:bCs/>
          <w:lang w:eastAsia="ru-RU"/>
        </w:rPr>
        <w:t> до 01.03.2031 года предусмотрена возможность упрощенного бесплатного оформления прав граждан на жилые дома и одновременно на земельные участки, на которых они расположены.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> 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>Действуют закон на жилые дома, возведенные до 14.05.1998 года на земельных участках, находящихся в государственной или муниципальной собственности и расположенных в границах населенного пункта. При этом, закон не распространяется на многоквартирные дома и дома блокированной застройки.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> 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bdr w:val="none" w:sz="0" w:space="0" w:color="auto" w:frame="1"/>
          <w:lang w:eastAsia="ru-RU"/>
        </w:rPr>
        <w:t xml:space="preserve">Законопроектом предлагается </w:t>
      </w:r>
      <w:r w:rsidRPr="00EF3280">
        <w:rPr>
          <w:rFonts w:ascii="Tahoma" w:eastAsia="Times New Roman" w:hAnsi="Tahoma" w:cs="Tahoma"/>
          <w:b/>
          <w:bCs/>
          <w:bdr w:val="none" w:sz="0" w:space="0" w:color="auto" w:frame="1"/>
          <w:lang w:eastAsia="ru-RU"/>
        </w:rPr>
        <w:t>распространить указанный упрощенный механизм на дома блокированной застройки,</w:t>
      </w:r>
      <w:r w:rsidRPr="00EF3280">
        <w:rPr>
          <w:rFonts w:ascii="Tahoma" w:eastAsia="Times New Roman" w:hAnsi="Tahoma" w:cs="Tahoma"/>
          <w:bCs/>
          <w:bdr w:val="none" w:sz="0" w:space="0" w:color="auto" w:frame="1"/>
          <w:lang w:eastAsia="ru-RU"/>
        </w:rPr>
        <w:t xml:space="preserve"> в случае,</w:t>
      </w:r>
      <w:r w:rsidRPr="00EF3280">
        <w:rPr>
          <w:rFonts w:ascii="Tahoma" w:eastAsia="Times New Roman" w:hAnsi="Tahoma" w:cs="Tahoma"/>
          <w:bCs/>
          <w:lang w:eastAsia="ru-RU"/>
        </w:rPr>
        <w:t> если количество домов блокированной застройки, возведенных до 14.05.1998 года, в одном ряду не превышает двух.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> 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>Считается, что «</w:t>
      </w:r>
      <w:r w:rsidRPr="00EF3280">
        <w:rPr>
          <w:rFonts w:ascii="Tahoma" w:eastAsia="Times New Roman" w:hAnsi="Tahoma" w:cs="Tahoma"/>
          <w:bCs/>
          <w:i/>
          <w:iCs/>
          <w:bdr w:val="none" w:sz="0" w:space="0" w:color="auto" w:frame="1"/>
          <w:lang w:eastAsia="ru-RU"/>
        </w:rPr>
        <w:t>предлагаемые изменения позволят обеспечить законные интересы обладателей недвижимости и государственную регистрацию прав на соответствующие объекты недвижимого имущества</w:t>
      </w:r>
      <w:r w:rsidRPr="00EF3280">
        <w:rPr>
          <w:rFonts w:ascii="Tahoma" w:eastAsia="Times New Roman" w:hAnsi="Tahoma" w:cs="Tahoma"/>
          <w:bCs/>
          <w:lang w:eastAsia="ru-RU"/>
        </w:rPr>
        <w:t>».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EF3280">
        <w:rPr>
          <w:rFonts w:ascii="Tahoma" w:eastAsia="Times New Roman" w:hAnsi="Tahoma" w:cs="Tahoma"/>
          <w:bCs/>
          <w:lang w:eastAsia="ru-RU"/>
        </w:rPr>
        <w:t xml:space="preserve">Будет ли принят данный законопроект? Следите за новостями на нашем сайте </w:t>
      </w:r>
      <w:r w:rsidRPr="00EF3280">
        <w:rPr>
          <w:rFonts w:ascii="Tahoma" w:eastAsia="Times New Roman" w:hAnsi="Tahoma" w:cs="Tahoma"/>
          <w:bCs/>
          <w:lang w:val="en-US" w:eastAsia="ru-RU"/>
        </w:rPr>
        <w:t>rkc</w:t>
      </w:r>
      <w:r w:rsidRPr="00EF3280">
        <w:rPr>
          <w:rFonts w:ascii="Tahoma" w:eastAsia="Times New Roman" w:hAnsi="Tahoma" w:cs="Tahoma"/>
          <w:bCs/>
          <w:lang w:eastAsia="ru-RU"/>
        </w:rPr>
        <w:t>56.</w:t>
      </w:r>
      <w:r w:rsidRPr="00EF3280">
        <w:rPr>
          <w:rFonts w:ascii="Tahoma" w:eastAsia="Times New Roman" w:hAnsi="Tahoma" w:cs="Tahoma"/>
          <w:bCs/>
          <w:lang w:val="en-US" w:eastAsia="ru-RU"/>
        </w:rPr>
        <w:t>ru</w:t>
      </w:r>
      <w:r w:rsidRPr="00EF3280">
        <w:rPr>
          <w:rFonts w:ascii="Tahoma" w:eastAsia="Times New Roman" w:hAnsi="Tahoma" w:cs="Tahoma"/>
          <w:bCs/>
          <w:lang w:eastAsia="ru-RU"/>
        </w:rPr>
        <w:t xml:space="preserve"> или в социальных сетях. А если появятся вопросы – задавайте, попробуем разобраться. 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:rsidR="00EF3280" w:rsidRPr="00EF3280" w:rsidRDefault="00EF3280" w:rsidP="00EF3280">
      <w:pPr>
        <w:jc w:val="both"/>
        <w:rPr>
          <w:rFonts w:ascii="Tahoma" w:hAnsi="Tahoma" w:cs="Tahoma"/>
          <w:i/>
          <w:sz w:val="18"/>
          <w:szCs w:val="18"/>
        </w:rPr>
      </w:pPr>
      <w:r w:rsidRPr="00EF3280">
        <w:rPr>
          <w:rFonts w:ascii="Tahoma" w:hAnsi="Tahoma" w:cs="Tahoma"/>
          <w:i/>
          <w:sz w:val="18"/>
          <w:szCs w:val="18"/>
        </w:rPr>
        <w:t>https://rkc56.ru</w:t>
      </w:r>
    </w:p>
    <w:p w:rsidR="00EF3280" w:rsidRPr="00EF3280" w:rsidRDefault="00EF3280" w:rsidP="00EF3280">
      <w:pPr>
        <w:jc w:val="both"/>
        <w:rPr>
          <w:rFonts w:ascii="Tahoma" w:hAnsi="Tahoma" w:cs="Tahoma"/>
          <w:i/>
          <w:sz w:val="18"/>
          <w:szCs w:val="18"/>
        </w:rPr>
      </w:pPr>
      <w:r w:rsidRPr="00EF3280">
        <w:rPr>
          <w:rFonts w:ascii="Tahoma" w:hAnsi="Tahoma" w:cs="Tahoma"/>
          <w:i/>
          <w:sz w:val="18"/>
          <w:szCs w:val="18"/>
        </w:rPr>
        <w:t>Горбачёва Л.Р.</w:t>
      </w:r>
    </w:p>
    <w:p w:rsidR="00EF3280" w:rsidRPr="00EF3280" w:rsidRDefault="00EF3280" w:rsidP="00EF3280">
      <w:pPr>
        <w:jc w:val="both"/>
        <w:rPr>
          <w:rFonts w:ascii="Tahoma" w:hAnsi="Tahoma" w:cs="Tahoma"/>
          <w:i/>
          <w:sz w:val="18"/>
          <w:szCs w:val="18"/>
        </w:rPr>
      </w:pPr>
      <w:r w:rsidRPr="00EF3280">
        <w:rPr>
          <w:rFonts w:ascii="Tahoma" w:hAnsi="Tahoma" w:cs="Tahoma"/>
          <w:i/>
          <w:sz w:val="18"/>
          <w:szCs w:val="18"/>
        </w:rPr>
        <w:t>Специалист по связям с общественностью</w:t>
      </w:r>
    </w:p>
    <w:p w:rsidR="00EF3280" w:rsidRPr="00EF3280" w:rsidRDefault="00EF3280" w:rsidP="00EF3280">
      <w:pPr>
        <w:jc w:val="both"/>
        <w:rPr>
          <w:rFonts w:ascii="Tahoma" w:hAnsi="Tahoma" w:cs="Tahoma"/>
          <w:i/>
          <w:sz w:val="18"/>
          <w:szCs w:val="18"/>
        </w:rPr>
      </w:pPr>
      <w:r w:rsidRPr="00EF3280">
        <w:rPr>
          <w:rFonts w:ascii="Tahoma" w:hAnsi="Tahoma" w:cs="Tahoma"/>
          <w:i/>
          <w:sz w:val="18"/>
          <w:szCs w:val="18"/>
        </w:rPr>
        <w:t>Компании "Региональный кадастровый центр"</w:t>
      </w:r>
    </w:p>
    <w:p w:rsidR="00EF3280" w:rsidRPr="00EF3280" w:rsidRDefault="00EF3280" w:rsidP="00EF3280">
      <w:pPr>
        <w:jc w:val="both"/>
        <w:rPr>
          <w:rFonts w:ascii="Tahoma" w:hAnsi="Tahoma" w:cs="Tahoma"/>
          <w:i/>
          <w:sz w:val="18"/>
          <w:szCs w:val="18"/>
        </w:rPr>
      </w:pPr>
      <w:r w:rsidRPr="00EF3280">
        <w:rPr>
          <w:rFonts w:ascii="Tahoma" w:hAnsi="Tahoma" w:cs="Tahoma"/>
          <w:i/>
          <w:sz w:val="18"/>
          <w:szCs w:val="18"/>
        </w:rPr>
        <w:t>г. Оренбург</w:t>
      </w:r>
    </w:p>
    <w:p w:rsidR="00EF3280" w:rsidRPr="00EF3280" w:rsidRDefault="00EF3280" w:rsidP="00EF3280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:rsidR="00F10AC7" w:rsidRPr="00EF3280" w:rsidRDefault="00F10AC7" w:rsidP="00EF3280">
      <w:pPr>
        <w:rPr>
          <w:rFonts w:ascii="Tahoma" w:hAnsi="Tahoma" w:cs="Tahoma"/>
        </w:rPr>
      </w:pPr>
    </w:p>
    <w:sectPr w:rsidR="00F10AC7" w:rsidRPr="00EF3280" w:rsidSect="009B6E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E0A13"/>
    <w:multiLevelType w:val="multilevel"/>
    <w:tmpl w:val="6CDC99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3B7366AC"/>
    <w:multiLevelType w:val="hybridMultilevel"/>
    <w:tmpl w:val="5DEC9D52"/>
    <w:lvl w:ilvl="0" w:tplc="04190001">
      <w:start w:val="1"/>
      <w:numFmt w:val="bullet"/>
      <w:lvlText w:val=""/>
      <w:lvlJc w:val="left"/>
      <w:pPr>
        <w:ind w:left="5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2" w15:restartNumberingAfterBreak="0">
    <w:nsid w:val="52530BDC"/>
    <w:multiLevelType w:val="hybridMultilevel"/>
    <w:tmpl w:val="83725528"/>
    <w:lvl w:ilvl="0" w:tplc="5EF423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7333F5"/>
    <w:multiLevelType w:val="multilevel"/>
    <w:tmpl w:val="004E1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280"/>
    <w:rsid w:val="00363A48"/>
    <w:rsid w:val="009678DE"/>
    <w:rsid w:val="009B6E17"/>
    <w:rsid w:val="009B6EC6"/>
    <w:rsid w:val="00E94A84"/>
    <w:rsid w:val="00EF3280"/>
    <w:rsid w:val="00F10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FE035"/>
  <w15:chartTrackingRefBased/>
  <w15:docId w15:val="{C4A29DF3-CF3A-4F37-84CC-D0EF2145C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1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paragraph" w:styleId="a6">
    <w:name w:val="Normal (Web)"/>
    <w:basedOn w:val="a"/>
    <w:uiPriority w:val="99"/>
    <w:semiHidden/>
    <w:unhideWhenUsed/>
    <w:rsid w:val="00EF328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EF3280"/>
    <w:rPr>
      <w:color w:val="0000FF"/>
      <w:u w:val="single"/>
    </w:rPr>
  </w:style>
  <w:style w:type="character" w:styleId="a8">
    <w:name w:val="Strong"/>
    <w:basedOn w:val="a0"/>
    <w:uiPriority w:val="22"/>
    <w:qFormat/>
    <w:rsid w:val="00EF3280"/>
    <w:rPr>
      <w:b/>
      <w:bCs/>
    </w:rPr>
  </w:style>
  <w:style w:type="character" w:styleId="a9">
    <w:name w:val="Emphasis"/>
    <w:basedOn w:val="a0"/>
    <w:uiPriority w:val="20"/>
    <w:qFormat/>
    <w:rsid w:val="00EF3280"/>
    <w:rPr>
      <w:i/>
      <w:iCs/>
    </w:rPr>
  </w:style>
  <w:style w:type="character" w:styleId="aa">
    <w:name w:val="FollowedHyperlink"/>
    <w:basedOn w:val="a0"/>
    <w:uiPriority w:val="99"/>
    <w:semiHidden/>
    <w:unhideWhenUsed/>
    <w:rsid w:val="00EF32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66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85749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6269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2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documents/72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kc56.ru/documents/323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kc56.ru/documents/6508" TargetMode="External"/><Relationship Id="rId11" Type="http://schemas.openxmlformats.org/officeDocument/2006/relationships/hyperlink" Target="https://rkc56.ru/documents/5155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rkc56.ru/documents/454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kc56.ru/documents/7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699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2</cp:revision>
  <dcterms:created xsi:type="dcterms:W3CDTF">2024-02-14T07:41:00Z</dcterms:created>
  <dcterms:modified xsi:type="dcterms:W3CDTF">2024-02-15T04:23:00Z</dcterms:modified>
</cp:coreProperties>
</file>